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7A304" w14:textId="77777777" w:rsidR="006D57F5" w:rsidRDefault="006D57F5" w:rsidP="006D57F5">
      <w:pPr>
        <w:pStyle w:val="NormalWeb"/>
        <w:spacing w:before="0" w:beforeAutospacing="0" w:after="0" w:afterAutospacing="0"/>
        <w:jc w:val="center"/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</w:pPr>
    </w:p>
    <w:p w14:paraId="52E3EDEB" w14:textId="155B4209" w:rsidR="006D57F5" w:rsidRDefault="006D57F5" w:rsidP="006D57F5">
      <w:pPr>
        <w:pStyle w:val="NormalWeb"/>
        <w:spacing w:before="0" w:beforeAutospacing="0" w:after="0" w:afterAutospacing="0"/>
        <w:jc w:val="center"/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</w:pPr>
      <w:r>
        <w:rPr>
          <w:noProof/>
        </w:rPr>
        <w:drawing>
          <wp:inline distT="0" distB="0" distL="0" distR="0" wp14:anchorId="69010791" wp14:editId="678C3DA2">
            <wp:extent cx="850900" cy="914400"/>
            <wp:effectExtent l="0" t="0" r="0" b="0"/>
            <wp:docPr id="1328714827" name="Image 2" descr="Une image contenant cercl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714827" name="Image 2" descr="Une image contenant cercle, capture d’écran&#10;&#10;Description générée automatiquement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B7E2C" w14:textId="77777777" w:rsidR="006D57F5" w:rsidRDefault="006D57F5" w:rsidP="006D57F5">
      <w:pPr>
        <w:pStyle w:val="NormalWeb"/>
        <w:spacing w:before="0" w:beforeAutospacing="0" w:after="0" w:afterAutospacing="0"/>
        <w:jc w:val="center"/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</w:pPr>
    </w:p>
    <w:p w14:paraId="614E0FA7" w14:textId="0172E995" w:rsidR="006D57F5" w:rsidRDefault="00E43287" w:rsidP="006D57F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Informatiefiche</w:t>
      </w:r>
    </w:p>
    <w:p w14:paraId="110FE2D8" w14:textId="2D1387D0" w:rsidR="00D21BE6" w:rsidRPr="00E43287" w:rsidRDefault="00D21BE6" w:rsidP="006D57F5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sz w:val="22"/>
          <w:szCs w:val="22"/>
        </w:rPr>
      </w:pPr>
      <w:r w:rsidRPr="00E43287"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>Verzekering Lichamelijke ongevallen Vrijwilligers</w:t>
      </w:r>
      <w:r w:rsidR="00E43287"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</w:rPr>
        <w:t xml:space="preserve"> Vincentius</w:t>
      </w:r>
    </w:p>
    <w:p w14:paraId="22C91D51" w14:textId="77777777" w:rsidR="00D21BE6" w:rsidRPr="00E43287" w:rsidRDefault="00D21BE6"/>
    <w:p w14:paraId="49474C5F" w14:textId="77777777" w:rsidR="00D21BE6" w:rsidRPr="006D57F5" w:rsidRDefault="00D21BE6" w:rsidP="00D21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F0"/>
          <w:kern w:val="0"/>
          <w:lang w:eastAsia="nl-BE"/>
          <w14:ligatures w14:val="none"/>
        </w:rPr>
      </w:pPr>
      <w:r w:rsidRPr="006D57F5">
        <w:rPr>
          <w:rFonts w:ascii="Arial" w:eastAsiaTheme="minorEastAsia" w:hAnsi="Arial" w:cs="Arial"/>
          <w:b/>
          <w:bCs/>
          <w:color w:val="00B0F0"/>
          <w:kern w:val="24"/>
          <w:lang w:eastAsia="nl-BE"/>
          <w14:ligatures w14:val="none"/>
        </w:rPr>
        <w:t>Wie?</w:t>
      </w:r>
    </w:p>
    <w:p w14:paraId="4F49B6EC" w14:textId="6114938A" w:rsidR="00D21BE6" w:rsidRPr="00E43287" w:rsidRDefault="00D21BE6" w:rsidP="00D21BE6">
      <w:pPr>
        <w:pStyle w:val="Paragraphedeliste"/>
        <w:numPr>
          <w:ilvl w:val="0"/>
          <w:numId w:val="4"/>
        </w:numPr>
        <w:rPr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Geregistreerde vrijwilligers</w:t>
      </w:r>
    </w:p>
    <w:p w14:paraId="59FB507A" w14:textId="180679B0" w:rsidR="00D21BE6" w:rsidRPr="00E43287" w:rsidRDefault="00D21BE6" w:rsidP="00D21BE6">
      <w:pPr>
        <w:pStyle w:val="Paragraphedeliste"/>
        <w:numPr>
          <w:ilvl w:val="0"/>
          <w:numId w:val="4"/>
        </w:numPr>
        <w:rPr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Niet geregistreerde occasionele vrijwilligers (toevallige ad hoc prestaties)</w:t>
      </w:r>
    </w:p>
    <w:p w14:paraId="194B42DF" w14:textId="77777777" w:rsidR="00D21BE6" w:rsidRPr="006D57F5" w:rsidRDefault="00D21BE6" w:rsidP="00D21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F0"/>
          <w:kern w:val="0"/>
          <w:lang w:eastAsia="nl-BE"/>
          <w14:ligatures w14:val="none"/>
        </w:rPr>
      </w:pPr>
      <w:r w:rsidRPr="006D57F5">
        <w:rPr>
          <w:rFonts w:ascii="Arial" w:eastAsiaTheme="minorEastAsia" w:hAnsi="Arial" w:cs="Arial"/>
          <w:b/>
          <w:bCs/>
          <w:color w:val="00B0F0"/>
          <w:kern w:val="24"/>
          <w:lang w:eastAsia="nl-BE"/>
          <w14:ligatures w14:val="none"/>
        </w:rPr>
        <w:t xml:space="preserve">Wat? </w:t>
      </w:r>
    </w:p>
    <w:p w14:paraId="775123B9" w14:textId="4F0AACEA" w:rsidR="00D21BE6" w:rsidRPr="00E43287" w:rsidRDefault="00D21BE6" w:rsidP="00D21BE6">
      <w:pPr>
        <w:pStyle w:val="Paragraphedeliste"/>
        <w:numPr>
          <w:ilvl w:val="0"/>
          <w:numId w:val="4"/>
        </w:numPr>
        <w:rPr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Een lichamelijk ongeval (= plots, onvoorzien en uitwendige oorzaak </w:t>
      </w:r>
      <w:r w:rsid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–</w:t>
      </w: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</w:t>
      </w:r>
      <w:r w:rsid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dus </w:t>
      </w: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geen ziekte zoals vb. hartinfarct</w:t>
      </w:r>
      <w:r w:rsid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of spierscheur </w:t>
      </w: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) met als gevolg en/of:</w:t>
      </w:r>
    </w:p>
    <w:p w14:paraId="7ED471AE" w14:textId="77777777" w:rsidR="00D21BE6" w:rsidRPr="00D21BE6" w:rsidRDefault="00D21BE6" w:rsidP="00D21BE6">
      <w:pPr>
        <w:numPr>
          <w:ilvl w:val="0"/>
          <w:numId w:val="2"/>
        </w:numPr>
        <w:spacing w:after="0" w:line="240" w:lineRule="auto"/>
        <w:ind w:left="1166"/>
        <w:contextualSpacing/>
        <w:rPr>
          <w:rFonts w:ascii="Times New Roman" w:eastAsia="Times New Roman" w:hAnsi="Times New Roman" w:cs="Times New Roman"/>
          <w:kern w:val="0"/>
          <w:lang w:eastAsia="nl-BE"/>
          <w14:ligatures w14:val="none"/>
        </w:rPr>
      </w:pPr>
      <w:r w:rsidRPr="00D21BE6">
        <w:rPr>
          <w:rFonts w:ascii="Arial" w:eastAsiaTheme="minorEastAsia" w:hAnsi="Arial" w:cs="Arial"/>
          <w:color w:val="000000" w:themeColor="text1"/>
          <w:kern w:val="24"/>
          <w:lang w:eastAsia="nl-BE"/>
          <w14:ligatures w14:val="none"/>
        </w:rPr>
        <w:t xml:space="preserve">Overlijden € 12.500 </w:t>
      </w:r>
    </w:p>
    <w:p w14:paraId="371A1B9E" w14:textId="77777777" w:rsidR="00D21BE6" w:rsidRPr="00D21BE6" w:rsidRDefault="00D21BE6" w:rsidP="00D21BE6">
      <w:pPr>
        <w:numPr>
          <w:ilvl w:val="0"/>
          <w:numId w:val="2"/>
        </w:numPr>
        <w:spacing w:after="0" w:line="240" w:lineRule="auto"/>
        <w:ind w:left="1166"/>
        <w:contextualSpacing/>
        <w:rPr>
          <w:rFonts w:ascii="Times New Roman" w:eastAsia="Times New Roman" w:hAnsi="Times New Roman" w:cs="Times New Roman"/>
          <w:kern w:val="0"/>
          <w:lang w:eastAsia="nl-BE"/>
          <w14:ligatures w14:val="none"/>
        </w:rPr>
      </w:pPr>
      <w:r w:rsidRPr="00D21BE6">
        <w:rPr>
          <w:rFonts w:ascii="Arial" w:eastAsiaTheme="minorEastAsia" w:hAnsi="Arial" w:cs="Arial"/>
          <w:color w:val="000000" w:themeColor="text1"/>
          <w:kern w:val="24"/>
          <w:lang w:eastAsia="nl-BE"/>
          <w14:ligatures w14:val="none"/>
        </w:rPr>
        <w:t>Blijvende invaliditeit € 30.000  bij 100% (of procentueel bij gedeeltelijke blijvende inv.)</w:t>
      </w:r>
    </w:p>
    <w:p w14:paraId="7FA25C87" w14:textId="77777777" w:rsidR="00D21BE6" w:rsidRPr="00D21BE6" w:rsidRDefault="00D21BE6" w:rsidP="00D21BE6">
      <w:pPr>
        <w:numPr>
          <w:ilvl w:val="0"/>
          <w:numId w:val="2"/>
        </w:numPr>
        <w:spacing w:after="0" w:line="240" w:lineRule="auto"/>
        <w:ind w:left="1166"/>
        <w:contextualSpacing/>
        <w:rPr>
          <w:rFonts w:ascii="Times New Roman" w:eastAsia="Times New Roman" w:hAnsi="Times New Roman" w:cs="Times New Roman"/>
          <w:kern w:val="0"/>
          <w:lang w:eastAsia="nl-BE"/>
          <w14:ligatures w14:val="none"/>
        </w:rPr>
      </w:pPr>
      <w:r w:rsidRPr="00D21BE6">
        <w:rPr>
          <w:rFonts w:ascii="Arial" w:eastAsiaTheme="minorEastAsia" w:hAnsi="Arial" w:cs="Arial"/>
          <w:color w:val="000000" w:themeColor="text1"/>
          <w:kern w:val="24"/>
          <w:lang w:eastAsia="nl-BE"/>
          <w14:ligatures w14:val="none"/>
        </w:rPr>
        <w:t>Tijdelijke werkongeschiktheid : € 10 /dag (vanaf 8</w:t>
      </w:r>
      <w:r w:rsidRPr="00D21BE6">
        <w:rPr>
          <w:rFonts w:ascii="Arial" w:eastAsiaTheme="minorEastAsia" w:hAnsi="Arial" w:cs="Arial"/>
          <w:color w:val="000000" w:themeColor="text1"/>
          <w:kern w:val="24"/>
          <w:position w:val="10"/>
          <w:vertAlign w:val="superscript"/>
          <w:lang w:eastAsia="nl-BE"/>
          <w14:ligatures w14:val="none"/>
        </w:rPr>
        <w:t>e</w:t>
      </w:r>
      <w:r w:rsidRPr="00D21BE6">
        <w:rPr>
          <w:rFonts w:ascii="Arial" w:eastAsiaTheme="minorEastAsia" w:hAnsi="Arial" w:cs="Arial"/>
          <w:color w:val="000000" w:themeColor="text1"/>
          <w:kern w:val="24"/>
          <w:lang w:eastAsia="nl-BE"/>
          <w14:ligatures w14:val="none"/>
        </w:rPr>
        <w:t xml:space="preserve"> dag) – bij ziekenhuisopname voor elke hospitalisatiedag -bij huishoudhulp mits bewijs voor 70plussers : vanaf 1</w:t>
      </w:r>
      <w:r w:rsidRPr="00D21BE6">
        <w:rPr>
          <w:rFonts w:ascii="Arial" w:eastAsiaTheme="minorEastAsia" w:hAnsi="Arial" w:cs="Arial"/>
          <w:color w:val="000000" w:themeColor="text1"/>
          <w:kern w:val="24"/>
          <w:position w:val="10"/>
          <w:vertAlign w:val="superscript"/>
          <w:lang w:eastAsia="nl-BE"/>
          <w14:ligatures w14:val="none"/>
        </w:rPr>
        <w:t>e</w:t>
      </w:r>
      <w:r w:rsidRPr="00D21BE6">
        <w:rPr>
          <w:rFonts w:ascii="Arial" w:eastAsiaTheme="minorEastAsia" w:hAnsi="Arial" w:cs="Arial"/>
          <w:color w:val="000000" w:themeColor="text1"/>
          <w:kern w:val="24"/>
          <w:lang w:eastAsia="nl-BE"/>
          <w14:ligatures w14:val="none"/>
        </w:rPr>
        <w:t xml:space="preserve"> dag - altijd max. 1 jaar</w:t>
      </w:r>
    </w:p>
    <w:p w14:paraId="7321AB2D" w14:textId="77777777" w:rsidR="00D21BE6" w:rsidRPr="00E43287" w:rsidRDefault="00D21BE6" w:rsidP="00D21BE6">
      <w:pPr>
        <w:numPr>
          <w:ilvl w:val="0"/>
          <w:numId w:val="2"/>
        </w:numPr>
        <w:spacing w:after="0" w:line="240" w:lineRule="auto"/>
        <w:ind w:left="1166"/>
        <w:contextualSpacing/>
        <w:rPr>
          <w:rFonts w:ascii="Times New Roman" w:eastAsia="Times New Roman" w:hAnsi="Times New Roman" w:cs="Times New Roman"/>
          <w:kern w:val="0"/>
          <w:lang w:eastAsia="nl-BE"/>
          <w14:ligatures w14:val="none"/>
        </w:rPr>
      </w:pPr>
      <w:r w:rsidRPr="00D21BE6">
        <w:rPr>
          <w:rFonts w:ascii="Arial" w:eastAsiaTheme="minorEastAsia" w:hAnsi="Arial" w:cs="Arial"/>
          <w:color w:val="000000" w:themeColor="text1"/>
          <w:kern w:val="24"/>
          <w:lang w:eastAsia="nl-BE"/>
          <w14:ligatures w14:val="none"/>
        </w:rPr>
        <w:t>Medische kosten :</w:t>
      </w:r>
    </w:p>
    <w:p w14:paraId="1D930ABD" w14:textId="5B91B0A7" w:rsidR="00D21BE6" w:rsidRPr="00E43287" w:rsidRDefault="00D21BE6" w:rsidP="00D21BE6">
      <w:pPr>
        <w:pStyle w:val="Paragraphedeliste"/>
        <w:numPr>
          <w:ilvl w:val="1"/>
          <w:numId w:val="4"/>
        </w:numPr>
        <w:rPr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Remgelden tot 100% Barema RIZIV + max. 5.000 EUR voor niet RIZIV kosten (vb. supplementen ziekenhuis, verbanden, wondzorgzalven, pijnstillers …)</w:t>
      </w:r>
    </w:p>
    <w:p w14:paraId="2D0FA391" w14:textId="66B272C6" w:rsidR="00D21BE6" w:rsidRPr="00E43287" w:rsidRDefault="00D21BE6" w:rsidP="00D21BE6">
      <w:pPr>
        <w:pStyle w:val="Paragraphedeliste"/>
        <w:numPr>
          <w:ilvl w:val="1"/>
          <w:numId w:val="4"/>
        </w:numPr>
        <w:rPr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Limieten : voor brilmontuur €  250; orthoped. app. € 1.500; hoorapp. € 1.250; tandproth. € 375; max/tand € 500</w:t>
      </w:r>
    </w:p>
    <w:p w14:paraId="4C02C046" w14:textId="08B94A59" w:rsidR="00D21BE6" w:rsidRPr="00E43287" w:rsidRDefault="00D21BE6" w:rsidP="00D21BE6">
      <w:pPr>
        <w:pStyle w:val="Paragraphedeliste"/>
        <w:numPr>
          <w:ilvl w:val="1"/>
          <w:numId w:val="4"/>
        </w:numPr>
        <w:rPr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Andere kosten :  </w:t>
      </w:r>
    </w:p>
    <w:p w14:paraId="20972C07" w14:textId="6FC53975" w:rsidR="00D21BE6" w:rsidRPr="00E43287" w:rsidRDefault="00D21BE6" w:rsidP="00D21BE6">
      <w:pPr>
        <w:pStyle w:val="Paragraphedeliste"/>
        <w:numPr>
          <w:ilvl w:val="2"/>
          <w:numId w:val="4"/>
        </w:numPr>
        <w:rPr>
          <w:sz w:val="22"/>
          <w:szCs w:val="22"/>
          <w:lang w:val="fr-FR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Materiële schade bij lichamelijk letsel. </w:t>
      </w: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fr-FR"/>
        </w:rPr>
        <w:t>(</w:t>
      </w:r>
      <w:proofErr w:type="gramStart"/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fr-FR"/>
        </w:rPr>
        <w:t>vb</w:t>
      </w:r>
      <w:proofErr w:type="gramEnd"/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fr-FR"/>
        </w:rPr>
        <w:t xml:space="preserve">. </w:t>
      </w:r>
      <w:proofErr w:type="gramStart"/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fr-FR"/>
        </w:rPr>
        <w:t>kledij</w:t>
      </w:r>
      <w:proofErr w:type="gramEnd"/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  <w:lang w:val="fr-FR"/>
        </w:rPr>
        <w:t xml:space="preserve">, fiets,…) Max. € 3.000 Franchise € 100 </w:t>
      </w:r>
    </w:p>
    <w:p w14:paraId="6280BFEA" w14:textId="09CE09F1" w:rsidR="00D21BE6" w:rsidRPr="00E43287" w:rsidRDefault="00D21BE6" w:rsidP="00D21BE6">
      <w:pPr>
        <w:pStyle w:val="Paragraphedeliste"/>
        <w:numPr>
          <w:ilvl w:val="2"/>
          <w:numId w:val="4"/>
        </w:numPr>
        <w:rPr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Begrafeniskosten € 2.500</w:t>
      </w:r>
    </w:p>
    <w:p w14:paraId="004F56C4" w14:textId="0CC7CEDC" w:rsidR="00D21BE6" w:rsidRPr="00E43287" w:rsidRDefault="00D21BE6" w:rsidP="00D21BE6">
      <w:pPr>
        <w:pStyle w:val="Paragraphedeliste"/>
        <w:numPr>
          <w:ilvl w:val="2"/>
          <w:numId w:val="4"/>
        </w:numPr>
        <w:rPr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Opzoekings- en repatriëringskosten € 5.000 en Verzorgingskosten in buitenland € 3.750</w:t>
      </w:r>
    </w:p>
    <w:p w14:paraId="7EC0601C" w14:textId="77777777" w:rsidR="00D21BE6" w:rsidRPr="006D57F5" w:rsidRDefault="00D21BE6" w:rsidP="00D21B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F0"/>
          <w:kern w:val="0"/>
          <w:lang w:eastAsia="nl-BE"/>
          <w14:ligatures w14:val="none"/>
        </w:rPr>
      </w:pPr>
      <w:r w:rsidRPr="006D57F5">
        <w:rPr>
          <w:rFonts w:ascii="Arial" w:eastAsiaTheme="minorEastAsia" w:hAnsi="Arial" w:cs="Arial"/>
          <w:b/>
          <w:bCs/>
          <w:color w:val="00B0F0"/>
          <w:kern w:val="24"/>
          <w:lang w:eastAsia="nl-BE"/>
          <w14:ligatures w14:val="none"/>
        </w:rPr>
        <w:t xml:space="preserve">Wanneer? </w:t>
      </w:r>
    </w:p>
    <w:p w14:paraId="499F1657" w14:textId="77777777" w:rsidR="00D21BE6" w:rsidRPr="00E43287" w:rsidRDefault="00D21BE6" w:rsidP="00D21BE6">
      <w:pPr>
        <w:rPr>
          <w:rFonts w:ascii="Arial" w:eastAsiaTheme="minorEastAsia" w:hAnsi="Arial" w:cs="Arial"/>
          <w:color w:val="000000" w:themeColor="text1"/>
          <w:kern w:val="24"/>
          <w:lang w:eastAsia="nl-BE"/>
          <w14:ligatures w14:val="none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lang w:eastAsia="nl-BE"/>
          <w14:ligatures w14:val="none"/>
        </w:rPr>
        <w:t>Alle activiteiten voor Vincentius + weg van woonplaats naar de plaats van die activiteiten en terug  (incl. nevenactiviteiten zoals vergaderingen, uitstappen, organisaties van tijdelijke activiteiten…) ! Enkel de normale/kortste weg van thuis naar werk en terug is gewaarborgd</w:t>
      </w:r>
    </w:p>
    <w:p w14:paraId="56186471" w14:textId="77777777" w:rsidR="00E43287" w:rsidRPr="006D57F5" w:rsidRDefault="00D21BE6" w:rsidP="00E43287">
      <w:pPr>
        <w:rPr>
          <w:rFonts w:ascii="Arial" w:eastAsiaTheme="minorEastAsia" w:hAnsi="Arial" w:cs="Arial"/>
          <w:color w:val="00B0F0"/>
          <w:kern w:val="24"/>
          <w:lang w:eastAsia="nl-BE"/>
          <w14:ligatures w14:val="none"/>
        </w:rPr>
      </w:pPr>
      <w:r w:rsidRPr="006D57F5">
        <w:rPr>
          <w:rFonts w:ascii="Arial" w:eastAsiaTheme="minorEastAsia" w:hAnsi="Arial" w:cs="Arial"/>
          <w:b/>
          <w:bCs/>
          <w:color w:val="00B0F0"/>
          <w:kern w:val="24"/>
        </w:rPr>
        <w:t>Schadeproces</w:t>
      </w:r>
    </w:p>
    <w:p w14:paraId="5F42F41C" w14:textId="55941A40" w:rsidR="00D21BE6" w:rsidRPr="00E43287" w:rsidRDefault="00D21BE6" w:rsidP="00E43287">
      <w:pPr>
        <w:pStyle w:val="Paragraphedeliste"/>
        <w:numPr>
          <w:ilvl w:val="0"/>
          <w:numId w:val="3"/>
        </w:numPr>
        <w:rPr>
          <w:rFonts w:ascii="Arial" w:eastAsiaTheme="minorEastAsia" w:hAnsi="Arial" w:cs="Arial"/>
          <w:color w:val="000000" w:themeColor="text1"/>
          <w:kern w:val="24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</w:rPr>
        <w:t xml:space="preserve">Invulbare </w:t>
      </w:r>
      <w:r w:rsidR="00E43287" w:rsidRPr="00E43287">
        <w:rPr>
          <w:rFonts w:ascii="Arial" w:eastAsiaTheme="minorEastAsia" w:hAnsi="Arial" w:cs="Arial"/>
          <w:color w:val="000000" w:themeColor="text1"/>
          <w:kern w:val="24"/>
        </w:rPr>
        <w:t>p</w:t>
      </w:r>
      <w:r w:rsidRPr="00E43287">
        <w:rPr>
          <w:rFonts w:ascii="Arial" w:eastAsiaTheme="minorEastAsia" w:hAnsi="Arial" w:cs="Arial"/>
          <w:color w:val="000000" w:themeColor="text1"/>
          <w:kern w:val="24"/>
        </w:rPr>
        <w:t xml:space="preserve">df downloaden via de website van Vincentius: </w:t>
      </w:r>
      <w:hyperlink r:id="rId8" w:history="1">
        <w:r w:rsidRPr="00E43287">
          <w:rPr>
            <w:rStyle w:val="Lienhypertexte"/>
            <w:rFonts w:ascii="Arial" w:eastAsiaTheme="minorEastAsia" w:hAnsi="Arial" w:cs="Arial"/>
            <w:color w:val="000000" w:themeColor="text1"/>
            <w:kern w:val="24"/>
            <w:sz w:val="22"/>
            <w:szCs w:val="22"/>
          </w:rPr>
          <w:t>www.vincentdepaul.be/ledenzone</w:t>
        </w:r>
      </w:hyperlink>
    </w:p>
    <w:p w14:paraId="269BBCC0" w14:textId="77777777" w:rsidR="00D21BE6" w:rsidRPr="00E43287" w:rsidRDefault="00D21BE6" w:rsidP="00D21BE6">
      <w:pPr>
        <w:pStyle w:val="Paragraphedeliste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Aangifte verzenden naar </w:t>
      </w:r>
      <w:hyperlink r:id="rId9" w:history="1">
        <w:r w:rsidRPr="00E43287">
          <w:rPr>
            <w:rStyle w:val="Lienhypertexte"/>
            <w:rFonts w:ascii="Arial" w:eastAsiaTheme="minorEastAsia" w:hAnsi="Arial" w:cs="Arial"/>
            <w:color w:val="000000" w:themeColor="text1"/>
            <w:kern w:val="24"/>
            <w:sz w:val="22"/>
            <w:szCs w:val="22"/>
          </w:rPr>
          <w:t>jolien.kenis@bampsverzekeringen.be</w:t>
        </w:r>
      </w:hyperlink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 – Telefoonnummer: 089/81.90.64</w:t>
      </w:r>
    </w:p>
    <w:p w14:paraId="3FA4DEC7" w14:textId="77777777" w:rsidR="00D21BE6" w:rsidRPr="00E43287" w:rsidRDefault="00D21BE6" w:rsidP="00D21BE6">
      <w:pPr>
        <w:pStyle w:val="Paragraphedeliste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Schadebeheerder Jolien Kenis bij Bamps Verzekeringen verifieert alle gegevens (Contacteert slachtoffer indien nodig), maakt over aan verzekeraar Belfius en confirmeert naar slachtoffer.</w:t>
      </w:r>
    </w:p>
    <w:p w14:paraId="330347A5" w14:textId="77777777" w:rsidR="00D21BE6" w:rsidRPr="00E43287" w:rsidRDefault="00D21BE6" w:rsidP="00D21BE6">
      <w:pPr>
        <w:pStyle w:val="Paragraphedeliste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43287">
        <w:rPr>
          <w:rFonts w:ascii="Arial" w:eastAsiaTheme="minorEastAsia" w:hAnsi="Arial" w:cs="Arial"/>
          <w:i/>
          <w:iCs/>
          <w:color w:val="000000" w:themeColor="text1"/>
          <w:kern w:val="24"/>
          <w:sz w:val="22"/>
          <w:szCs w:val="22"/>
        </w:rPr>
        <w:t xml:space="preserve">Vanaf hier loopt alles direct tussen dossierbeheerder verzekeraar (Belfius) en slachtoffer. </w:t>
      </w:r>
    </w:p>
    <w:p w14:paraId="1FE04622" w14:textId="77777777" w:rsidR="00D21BE6" w:rsidRPr="00E43287" w:rsidRDefault="00D21BE6" w:rsidP="00D21BE6">
      <w:pPr>
        <w:pStyle w:val="Paragraphedeliste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>Bij problemen of vragen kan slachtoffer contact nemen met zijn schadebeheerder bij Bamps Verzekeringen die hem/haar zal ondersteunen.</w:t>
      </w:r>
    </w:p>
    <w:p w14:paraId="7D26103F" w14:textId="77777777" w:rsidR="00D21BE6" w:rsidRPr="00E43287" w:rsidRDefault="00D21BE6" w:rsidP="00D21BE6">
      <w:pPr>
        <w:pStyle w:val="Paragraphedeliste"/>
        <w:ind w:left="360"/>
        <w:rPr>
          <w:rFonts w:ascii="Arial" w:hAnsi="Arial" w:cs="Arial"/>
          <w:sz w:val="22"/>
          <w:szCs w:val="22"/>
        </w:rPr>
      </w:pPr>
    </w:p>
    <w:p w14:paraId="79EF3AE0" w14:textId="77777777" w:rsidR="00D21BE6" w:rsidRPr="00E43287" w:rsidRDefault="00D21BE6" w:rsidP="00D21BE6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t xml:space="preserve">Opgelet : wees zo volledig mogelijk in uw aangifte en bewaar alle foto’s ,documenten van uw schade. Medische kosten kunnen best verzameld worden tot na genezing en enkel na </w:t>
      </w:r>
      <w:r w:rsidRPr="00E43287">
        <w:rPr>
          <w:rFonts w:ascii="Arial" w:eastAsiaTheme="minorEastAsia" w:hAnsi="Arial" w:cs="Arial"/>
          <w:color w:val="000000" w:themeColor="text1"/>
          <w:kern w:val="24"/>
          <w:sz w:val="22"/>
          <w:szCs w:val="22"/>
        </w:rPr>
        <w:lastRenderedPageBreak/>
        <w:t>afrekening met mutualiteit overgemaakt worden. Zolang uw dossier niet officieel werd afgesloten kan u kosten blijven indienen.</w:t>
      </w:r>
    </w:p>
    <w:p w14:paraId="17FC726C" w14:textId="69B289E0" w:rsidR="00D21BE6" w:rsidRDefault="00D21BE6" w:rsidP="00D21BE6">
      <w:pPr>
        <w:rPr>
          <w:rFonts w:ascii="Arial" w:eastAsiaTheme="minorEastAsia" w:hAnsi="Arial" w:cs="Arial"/>
          <w:b/>
          <w:bCs/>
          <w:color w:val="000000" w:themeColor="text1"/>
          <w:kern w:val="24"/>
          <w:sz w:val="24"/>
          <w:szCs w:val="24"/>
        </w:rPr>
      </w:pPr>
    </w:p>
    <w:p w14:paraId="10B9918A" w14:textId="77777777" w:rsidR="00D21BE6" w:rsidRDefault="00D21BE6" w:rsidP="00D21BE6">
      <w:pPr>
        <w:rPr>
          <w:rFonts w:ascii="Arial" w:eastAsiaTheme="minorEastAsia" w:hAnsi="Arial" w:cs="Arial"/>
          <w:b/>
          <w:bCs/>
          <w:color w:val="000000" w:themeColor="text1"/>
          <w:kern w:val="24"/>
          <w:sz w:val="24"/>
          <w:szCs w:val="24"/>
        </w:rPr>
      </w:pPr>
    </w:p>
    <w:p w14:paraId="7385706F" w14:textId="77777777" w:rsidR="00D21BE6" w:rsidRPr="00D21BE6" w:rsidRDefault="00D21BE6" w:rsidP="00D21BE6">
      <w:pPr>
        <w:rPr>
          <w:rFonts w:ascii="Arial" w:eastAsiaTheme="minorEastAsia" w:hAnsi="Arial" w:cs="Arial"/>
          <w:color w:val="000000" w:themeColor="text1"/>
          <w:kern w:val="24"/>
          <w:sz w:val="24"/>
          <w:szCs w:val="24"/>
          <w:lang w:eastAsia="nl-BE"/>
          <w14:ligatures w14:val="none"/>
        </w:rPr>
      </w:pPr>
    </w:p>
    <w:p w14:paraId="7613E645" w14:textId="77777777" w:rsidR="00D21BE6" w:rsidRPr="00D21BE6" w:rsidRDefault="00D21BE6" w:rsidP="00D21BE6">
      <w:pPr>
        <w:rPr>
          <w:sz w:val="24"/>
          <w:szCs w:val="24"/>
        </w:rPr>
      </w:pPr>
    </w:p>
    <w:sectPr w:rsidR="00D21BE6" w:rsidRPr="00D21BE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CF0D8" w14:textId="77777777" w:rsidR="00B3041C" w:rsidRDefault="00B3041C" w:rsidP="006D57F5">
      <w:pPr>
        <w:spacing w:after="0" w:line="240" w:lineRule="auto"/>
      </w:pPr>
      <w:r>
        <w:separator/>
      </w:r>
    </w:p>
  </w:endnote>
  <w:endnote w:type="continuationSeparator" w:id="0">
    <w:p w14:paraId="743AC340" w14:textId="77777777" w:rsidR="00B3041C" w:rsidRDefault="00B3041C" w:rsidP="006D5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77EC4" w14:textId="77777777" w:rsidR="00B3041C" w:rsidRDefault="00B3041C" w:rsidP="006D57F5">
      <w:pPr>
        <w:spacing w:after="0" w:line="240" w:lineRule="auto"/>
      </w:pPr>
      <w:r>
        <w:separator/>
      </w:r>
    </w:p>
  </w:footnote>
  <w:footnote w:type="continuationSeparator" w:id="0">
    <w:p w14:paraId="1A2FD961" w14:textId="77777777" w:rsidR="00B3041C" w:rsidRDefault="00B3041C" w:rsidP="006D5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1207B" w14:textId="2EB5F3EB" w:rsidR="006D57F5" w:rsidRDefault="006D57F5" w:rsidP="006D57F5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A14A6"/>
    <w:multiLevelType w:val="hybridMultilevel"/>
    <w:tmpl w:val="9E5E0E40"/>
    <w:lvl w:ilvl="0" w:tplc="2B18B504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1" w:tplc="E2BAB760" w:tentative="1">
      <w:start w:val="1"/>
      <w:numFmt w:val="bullet"/>
      <w:lvlText w:val="•"/>
      <w:lvlJc w:val="left"/>
      <w:pPr>
        <w:tabs>
          <w:tab w:val="num" w:pos="1506"/>
        </w:tabs>
        <w:ind w:left="1506" w:hanging="360"/>
      </w:pPr>
      <w:rPr>
        <w:rFonts w:ascii="Arial" w:hAnsi="Arial" w:hint="default"/>
      </w:rPr>
    </w:lvl>
    <w:lvl w:ilvl="2" w:tplc="6D746F82" w:tentative="1">
      <w:start w:val="1"/>
      <w:numFmt w:val="bullet"/>
      <w:lvlText w:val="•"/>
      <w:lvlJc w:val="left"/>
      <w:pPr>
        <w:tabs>
          <w:tab w:val="num" w:pos="2226"/>
        </w:tabs>
        <w:ind w:left="2226" w:hanging="360"/>
      </w:pPr>
      <w:rPr>
        <w:rFonts w:ascii="Arial" w:hAnsi="Arial" w:hint="default"/>
      </w:rPr>
    </w:lvl>
    <w:lvl w:ilvl="3" w:tplc="35406AC2" w:tentative="1">
      <w:start w:val="1"/>
      <w:numFmt w:val="bullet"/>
      <w:lvlText w:val="•"/>
      <w:lvlJc w:val="left"/>
      <w:pPr>
        <w:tabs>
          <w:tab w:val="num" w:pos="2946"/>
        </w:tabs>
        <w:ind w:left="2946" w:hanging="360"/>
      </w:pPr>
      <w:rPr>
        <w:rFonts w:ascii="Arial" w:hAnsi="Arial" w:hint="default"/>
      </w:rPr>
    </w:lvl>
    <w:lvl w:ilvl="4" w:tplc="32403742" w:tentative="1">
      <w:start w:val="1"/>
      <w:numFmt w:val="bullet"/>
      <w:lvlText w:val="•"/>
      <w:lvlJc w:val="left"/>
      <w:pPr>
        <w:tabs>
          <w:tab w:val="num" w:pos="3666"/>
        </w:tabs>
        <w:ind w:left="3666" w:hanging="360"/>
      </w:pPr>
      <w:rPr>
        <w:rFonts w:ascii="Arial" w:hAnsi="Arial" w:hint="default"/>
      </w:rPr>
    </w:lvl>
    <w:lvl w:ilvl="5" w:tplc="5F4A03E6" w:tentative="1">
      <w:start w:val="1"/>
      <w:numFmt w:val="bullet"/>
      <w:lvlText w:val="•"/>
      <w:lvlJc w:val="left"/>
      <w:pPr>
        <w:tabs>
          <w:tab w:val="num" w:pos="4386"/>
        </w:tabs>
        <w:ind w:left="4386" w:hanging="360"/>
      </w:pPr>
      <w:rPr>
        <w:rFonts w:ascii="Arial" w:hAnsi="Arial" w:hint="default"/>
      </w:rPr>
    </w:lvl>
    <w:lvl w:ilvl="6" w:tplc="FB8A743A" w:tentative="1">
      <w:start w:val="1"/>
      <w:numFmt w:val="bullet"/>
      <w:lvlText w:val="•"/>
      <w:lvlJc w:val="left"/>
      <w:pPr>
        <w:tabs>
          <w:tab w:val="num" w:pos="5106"/>
        </w:tabs>
        <w:ind w:left="5106" w:hanging="360"/>
      </w:pPr>
      <w:rPr>
        <w:rFonts w:ascii="Arial" w:hAnsi="Arial" w:hint="default"/>
      </w:rPr>
    </w:lvl>
    <w:lvl w:ilvl="7" w:tplc="366E6CAE" w:tentative="1">
      <w:start w:val="1"/>
      <w:numFmt w:val="bullet"/>
      <w:lvlText w:val="•"/>
      <w:lvlJc w:val="left"/>
      <w:pPr>
        <w:tabs>
          <w:tab w:val="num" w:pos="5826"/>
        </w:tabs>
        <w:ind w:left="5826" w:hanging="360"/>
      </w:pPr>
      <w:rPr>
        <w:rFonts w:ascii="Arial" w:hAnsi="Arial" w:hint="default"/>
      </w:rPr>
    </w:lvl>
    <w:lvl w:ilvl="8" w:tplc="B5DEA15E" w:tentative="1">
      <w:start w:val="1"/>
      <w:numFmt w:val="bullet"/>
      <w:lvlText w:val="•"/>
      <w:lvlJc w:val="left"/>
      <w:pPr>
        <w:tabs>
          <w:tab w:val="num" w:pos="6546"/>
        </w:tabs>
        <w:ind w:left="6546" w:hanging="360"/>
      </w:pPr>
      <w:rPr>
        <w:rFonts w:ascii="Arial" w:hAnsi="Arial" w:hint="default"/>
      </w:rPr>
    </w:lvl>
  </w:abstractNum>
  <w:abstractNum w:abstractNumId="1" w15:restartNumberingAfterBreak="0">
    <w:nsid w:val="4C343B40"/>
    <w:multiLevelType w:val="hybridMultilevel"/>
    <w:tmpl w:val="7A44F59E"/>
    <w:lvl w:ilvl="0" w:tplc="8E92197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000000" w:themeColor="text1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94564F"/>
    <w:multiLevelType w:val="hybridMultilevel"/>
    <w:tmpl w:val="A4F4A736"/>
    <w:lvl w:ilvl="0" w:tplc="5C021248">
      <w:start w:val="1"/>
      <w:numFmt w:val="bullet"/>
      <w:lvlText w:val="•"/>
      <w:lvlJc w:val="left"/>
      <w:pPr>
        <w:tabs>
          <w:tab w:val="num" w:pos="558"/>
        </w:tabs>
        <w:ind w:left="558" w:hanging="360"/>
      </w:pPr>
      <w:rPr>
        <w:rFonts w:ascii="Arial" w:hAnsi="Arial" w:hint="default"/>
      </w:rPr>
    </w:lvl>
    <w:lvl w:ilvl="1" w:tplc="A83C9B8A">
      <w:numFmt w:val="bullet"/>
      <w:lvlText w:val="•"/>
      <w:lvlJc w:val="left"/>
      <w:pPr>
        <w:tabs>
          <w:tab w:val="num" w:pos="1278"/>
        </w:tabs>
        <w:ind w:left="1278" w:hanging="360"/>
      </w:pPr>
      <w:rPr>
        <w:rFonts w:ascii="Arial" w:hAnsi="Arial" w:hint="default"/>
      </w:rPr>
    </w:lvl>
    <w:lvl w:ilvl="2" w:tplc="71EE4910">
      <w:start w:val="1"/>
      <w:numFmt w:val="bullet"/>
      <w:lvlText w:val="•"/>
      <w:lvlJc w:val="left"/>
      <w:pPr>
        <w:tabs>
          <w:tab w:val="num" w:pos="1998"/>
        </w:tabs>
        <w:ind w:left="1998" w:hanging="360"/>
      </w:pPr>
      <w:rPr>
        <w:rFonts w:ascii="Arial" w:hAnsi="Arial" w:hint="default"/>
      </w:rPr>
    </w:lvl>
    <w:lvl w:ilvl="3" w:tplc="7C5C5DE2" w:tentative="1">
      <w:start w:val="1"/>
      <w:numFmt w:val="bullet"/>
      <w:lvlText w:val="•"/>
      <w:lvlJc w:val="left"/>
      <w:pPr>
        <w:tabs>
          <w:tab w:val="num" w:pos="2718"/>
        </w:tabs>
        <w:ind w:left="2718" w:hanging="360"/>
      </w:pPr>
      <w:rPr>
        <w:rFonts w:ascii="Arial" w:hAnsi="Arial" w:hint="default"/>
      </w:rPr>
    </w:lvl>
    <w:lvl w:ilvl="4" w:tplc="0268A90A" w:tentative="1">
      <w:start w:val="1"/>
      <w:numFmt w:val="bullet"/>
      <w:lvlText w:val="•"/>
      <w:lvlJc w:val="left"/>
      <w:pPr>
        <w:tabs>
          <w:tab w:val="num" w:pos="3438"/>
        </w:tabs>
        <w:ind w:left="3438" w:hanging="360"/>
      </w:pPr>
      <w:rPr>
        <w:rFonts w:ascii="Arial" w:hAnsi="Arial" w:hint="default"/>
      </w:rPr>
    </w:lvl>
    <w:lvl w:ilvl="5" w:tplc="5E6A8A48" w:tentative="1">
      <w:start w:val="1"/>
      <w:numFmt w:val="bullet"/>
      <w:lvlText w:val="•"/>
      <w:lvlJc w:val="left"/>
      <w:pPr>
        <w:tabs>
          <w:tab w:val="num" w:pos="4158"/>
        </w:tabs>
        <w:ind w:left="4158" w:hanging="360"/>
      </w:pPr>
      <w:rPr>
        <w:rFonts w:ascii="Arial" w:hAnsi="Arial" w:hint="default"/>
      </w:rPr>
    </w:lvl>
    <w:lvl w:ilvl="6" w:tplc="54BAE560" w:tentative="1">
      <w:start w:val="1"/>
      <w:numFmt w:val="bullet"/>
      <w:lvlText w:val="•"/>
      <w:lvlJc w:val="left"/>
      <w:pPr>
        <w:tabs>
          <w:tab w:val="num" w:pos="4878"/>
        </w:tabs>
        <w:ind w:left="4878" w:hanging="360"/>
      </w:pPr>
      <w:rPr>
        <w:rFonts w:ascii="Arial" w:hAnsi="Arial" w:hint="default"/>
      </w:rPr>
    </w:lvl>
    <w:lvl w:ilvl="7" w:tplc="1EC03342" w:tentative="1">
      <w:start w:val="1"/>
      <w:numFmt w:val="bullet"/>
      <w:lvlText w:val="•"/>
      <w:lvlJc w:val="left"/>
      <w:pPr>
        <w:tabs>
          <w:tab w:val="num" w:pos="5598"/>
        </w:tabs>
        <w:ind w:left="5598" w:hanging="360"/>
      </w:pPr>
      <w:rPr>
        <w:rFonts w:ascii="Arial" w:hAnsi="Arial" w:hint="default"/>
      </w:rPr>
    </w:lvl>
    <w:lvl w:ilvl="8" w:tplc="E4B0C7AE" w:tentative="1">
      <w:start w:val="1"/>
      <w:numFmt w:val="bullet"/>
      <w:lvlText w:val="•"/>
      <w:lvlJc w:val="left"/>
      <w:pPr>
        <w:tabs>
          <w:tab w:val="num" w:pos="6318"/>
        </w:tabs>
        <w:ind w:left="6318" w:hanging="360"/>
      </w:pPr>
      <w:rPr>
        <w:rFonts w:ascii="Arial" w:hAnsi="Arial" w:hint="default"/>
      </w:rPr>
    </w:lvl>
  </w:abstractNum>
  <w:abstractNum w:abstractNumId="3" w15:restartNumberingAfterBreak="0">
    <w:nsid w:val="796B46DA"/>
    <w:multiLevelType w:val="hybridMultilevel"/>
    <w:tmpl w:val="64325302"/>
    <w:lvl w:ilvl="0" w:tplc="CB424D3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Theme="minorEastAsia" w:hAnsi="Arial" w:cs="Arial"/>
      </w:rPr>
    </w:lvl>
    <w:lvl w:ilvl="1" w:tplc="26E44332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39606858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6D0005CC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DB9439F4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B9C40202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4ADC6288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875C733C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297CE8AE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num w:numId="1" w16cid:durableId="516312475">
    <w:abstractNumId w:val="0"/>
  </w:num>
  <w:num w:numId="2" w16cid:durableId="2124374967">
    <w:abstractNumId w:val="2"/>
  </w:num>
  <w:num w:numId="3" w16cid:durableId="2091611645">
    <w:abstractNumId w:val="3"/>
  </w:num>
  <w:num w:numId="4" w16cid:durableId="104274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E6"/>
    <w:rsid w:val="006D57F5"/>
    <w:rsid w:val="00B3041C"/>
    <w:rsid w:val="00D21BE6"/>
    <w:rsid w:val="00E4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D48B1"/>
  <w15:chartTrackingRefBased/>
  <w15:docId w15:val="{9697970A-2C4B-442C-B68A-8FC1079FD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1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paragraph" w:styleId="Paragraphedeliste">
    <w:name w:val="List Paragraph"/>
    <w:basedOn w:val="Normal"/>
    <w:uiPriority w:val="34"/>
    <w:qFormat/>
    <w:rsid w:val="00D21B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D21BE6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6D5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57F5"/>
  </w:style>
  <w:style w:type="paragraph" w:styleId="Pieddepage">
    <w:name w:val="footer"/>
    <w:basedOn w:val="Normal"/>
    <w:link w:val="PieddepageCar"/>
    <w:uiPriority w:val="99"/>
    <w:unhideWhenUsed/>
    <w:rsid w:val="006D5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5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4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04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904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50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6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09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757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1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24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22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46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14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801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016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65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450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210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313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ncentdepaul.be/ledenzone/hiervindjedocumenten/verzekeringe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olien.kenis@bampsverzekeringen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382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Willy Bamps</dc:creator>
  <cp:keywords/>
  <dc:description/>
  <cp:lastModifiedBy>Frederick De Gryse</cp:lastModifiedBy>
  <cp:revision>2</cp:revision>
  <dcterms:created xsi:type="dcterms:W3CDTF">2023-12-11T15:44:00Z</dcterms:created>
  <dcterms:modified xsi:type="dcterms:W3CDTF">2023-12-27T07:37:00Z</dcterms:modified>
</cp:coreProperties>
</file>